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Aviso de privacidad — Acme Inc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Última actualización: 2026-03-19</w:t>
      </w:r>
    </w:p>
    <w:p>
      <w:pPr>
        <w:ind w:left="720"/>
      </w:pPr>
      <w:r>
        <w:rPr>
          <w:i/>
          <w:color w:val="666666"/>
        </w:rPr>
        <w:t xml:space="preserve">Este es un aviso de privacidad simplificado. Para la política de privacidad completa, consulte la [Privacy Policy](./PRIVACY_POLICY.md) (en inglés).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Qué datos recopilamos</w:t>
      </w:r>
    </w:p>
    <w:p>
      <w:pPr>
        <w:pStyle w:val="ListParagraph"/>
        <w:numPr>
          <w:ilvl w:val="0"/>
          <w:numId w:val="1"/>
        </w:numPr>
      </w:pPr>
      <w:r>
        <w:t xml:space="preserve">Correo electrónico e información de cuenta al registrarse o iniciar sesión</w:t>
      </w:r>
    </w:p>
    <w:p>
      <w:pPr>
        <w:pStyle w:val="ListParagraph"/>
        <w:numPr>
          <w:ilvl w:val="0"/>
          <w:numId w:val="1"/>
        </w:numPr>
      </w:pPr>
      <w:r>
        <w:t xml:space="preserve">Datos de pago para compras (procesados de forma segura)</w:t>
      </w:r>
    </w:p>
    <w:p>
      <w:pPr>
        <w:pStyle w:val="ListParagraph"/>
        <w:numPr>
          <w:ilvl w:val="0"/>
          <w:numId w:val="1"/>
        </w:numPr>
      </w:pPr>
      <w:r>
        <w:t xml:space="preserve">Datos de uso (páginas visitadas, funciones utilizadas)</w:t>
      </w:r>
    </w:p>
    <w:p>
      <w:pPr>
        <w:pStyle w:val="ListParagraph"/>
        <w:numPr>
          <w:ilvl w:val="0"/>
          <w:numId w:val="1"/>
        </w:numPr>
      </w:pPr>
      <w:r>
        <w:t xml:space="preserve">Contenido proporcionado a funciones de IA (textos, archivos)</w:t>
      </w:r>
    </w:p>
    <w:p>
      <w:pPr>
        <w:pStyle w:val="ListParagraph"/>
        <w:numPr>
          <w:ilvl w:val="0"/>
          <w:numId w:val="1"/>
        </w:numPr>
      </w:pPr>
      <w:r>
        <w:t xml:space="preserve">Información técnica como tipo de dispositivo e informes de errores</w:t>
      </w:r>
    </w:p>
    <w:p>
      <w:pPr>
        <w:pStyle w:val="ListParagraph"/>
        <w:numPr>
          <w:ilvl w:val="0"/>
          <w:numId w:val="1"/>
        </w:numPr>
      </w:pPr>
      <w:r>
        <w:t xml:space="preserve">Correo electrónico para notificaciones de cuenta</w:t>
      </w:r>
    </w:p>
    <w:p>
      <w:pPr>
        <w:pStyle w:val="Heading2"/>
      </w:pPr>
      <w:r>
        <w:t>Por qué recopilamos datos</w:t>
      </w:r>
    </w:p>
    <w:p>
      <w:pPr>
        <w:pStyle w:val="ListParagraph"/>
        <w:numPr>
          <w:ilvl w:val="0"/>
          <w:numId w:val="1"/>
        </w:numPr>
      </w:pPr>
      <w:r>
        <w:t xml:space="preserve">Proporcionar y operar nuestro servicio</w:t>
      </w:r>
    </w:p>
    <w:p>
      <w:pPr>
        <w:pStyle w:val="ListParagraph"/>
        <w:numPr>
          <w:ilvl w:val="0"/>
          <w:numId w:val="1"/>
        </w:numPr>
      </w:pPr>
      <w:r>
        <w:t xml:space="preserve">Procesar pagos</w:t>
      </w:r>
    </w:p>
    <w:p>
      <w:pPr>
        <w:pStyle w:val="ListParagraph"/>
        <w:numPr>
          <w:ilvl w:val="0"/>
          <w:numId w:val="1"/>
        </w:numPr>
      </w:pPr>
      <w:r>
        <w:t xml:space="preserve">Comprender patrones de uso y mejorar el producto</w:t>
      </w:r>
    </w:p>
    <w:p>
      <w:pPr>
        <w:pStyle w:val="ListParagraph"/>
        <w:numPr>
          <w:ilvl w:val="0"/>
          <w:numId w:val="1"/>
        </w:numPr>
      </w:pPr>
      <w:r>
        <w:t xml:space="preserve">Proporcionar funciones de IA que usted utiliza</w:t>
      </w:r>
    </w:p>
    <w:p>
      <w:pPr>
        <w:pStyle w:val="ListParagraph"/>
        <w:numPr>
          <w:ilvl w:val="0"/>
          <w:numId w:val="1"/>
        </w:numPr>
      </w:pPr>
      <w:r>
        <w:t xml:space="preserve">Detectar y resolver problemas técnicos</w:t>
      </w:r>
    </w:p>
    <w:p>
      <w:pPr>
        <w:pStyle w:val="Heading2"/>
      </w:pPr>
      <w:r>
        <w:t>Con quién compartimos sus datos</w:t>
      </w:r>
    </w:p>
    <w:p>
      <w:pPr>
        <w:pStyle w:val="ListParagraph"/>
        <w:numPr>
          <w:ilvl w:val="0"/>
          <w:numId w:val="1"/>
        </w:numPr>
      </w:pPr>
      <w:r>
        <w:t xml:space="preserve">Proveedores de servicios: @sentry/node, @supabase/supabase-js, openai, posthog, prisma +3</w:t>
      </w:r>
    </w:p>
    <w:p>
      <w:pPr>
        <w:pStyle w:val="ListParagraph"/>
        <w:numPr>
          <w:ilvl w:val="0"/>
          <w:numId w:val="1"/>
        </w:numPr>
      </w:pPr>
      <w:r>
        <w:t xml:space="preserve">Autoridades judiciales, solo cuando la ley lo requiera</w:t>
      </w:r>
    </w:p>
    <w:p>
      <w:r>
        <w:t xml:space="preserve">Nunca vendemos sus datos personales.</w:t>
      </w:r>
    </w:p>
    <w:p>
      <w:pPr>
        <w:pStyle w:val="Heading2"/>
      </w:pPr>
      <w:r>
        <w:t>Sus derechos</w:t>
      </w:r>
    </w:p>
    <w:p>
      <w:pPr>
        <w:pStyle w:val="ListParagraph"/>
        <w:numPr>
          <w:ilvl w:val="0"/>
          <w:numId w:val="1"/>
        </w:numPr>
      </w:pPr>
      <w:r>
        <w:t xml:space="preserve">Solicitar acceso a sus datos</w:t>
      </w:r>
    </w:p>
    <w:p>
      <w:pPr>
        <w:pStyle w:val="ListParagraph"/>
        <w:numPr>
          <w:ilvl w:val="0"/>
          <w:numId w:val="1"/>
        </w:numPr>
      </w:pPr>
      <w:r>
        <w:t xml:space="preserve">Descargar una copia de sus datos</w:t>
      </w:r>
    </w:p>
    <w:p>
      <w:pPr>
        <w:pStyle w:val="ListParagraph"/>
        <w:numPr>
          <w:ilvl w:val="0"/>
          <w:numId w:val="1"/>
        </w:numPr>
      </w:pPr>
      <w:r>
        <w:t xml:space="preserve">Solicitar la eliminación de sus datos</w:t>
      </w:r>
    </w:p>
    <w:p>
      <w:pPr>
        <w:pStyle w:val="ListParagraph"/>
        <w:numPr>
          <w:ilvl w:val="0"/>
          <w:numId w:val="1"/>
        </w:numPr>
      </w:pPr>
      <w:r>
        <w:t xml:space="preserve">Oponerse al tratamiento no esencial</w:t>
      </w:r>
    </w:p>
    <w:p>
      <w:pPr>
        <w:pStyle w:val="ListParagraph"/>
        <w:numPr>
          <w:ilvl w:val="0"/>
          <w:numId w:val="1"/>
        </w:numPr>
      </w:pPr>
      <w:r>
        <w:t xml:space="preserve">Rectificar sus datos personales</w:t>
      </w:r>
    </w:p>
    <w:p>
      <w:pPr>
        <w:pStyle w:val="Heading2"/>
      </w:pPr>
      <w:r>
        <w:t>Contacto</w:t>
      </w:r>
    </w:p>
    <w:p>
      <w:r>
        <w:t xml:space="preserve">legal@acme.com</w:t>
      </w:r>
    </w:p>
    <w:p>
      <w:pPr>
        <w:pStyle w:val="Heading2"/>
      </w:pPr>
      <w:r>
        <w:t>Más información</w:t>
      </w:r>
    </w:p>
    <w:p>
      <w:pPr>
        <w:pStyle w:val="ListParagraph"/>
        <w:numPr>
          <w:ilvl w:val="0"/>
          <w:numId w:val="1"/>
        </w:numPr>
      </w:pPr>
      <w:r>
        <w:t xml:space="preserve">[Privacy Policy](./PRIVACY_POLICY.md) — Política de privacidad completa (en inglés)</w:t>
      </w:r>
    </w:p>
    <w:p>
      <w:pPr>
        <w:pStyle w:val="ListParagraph"/>
        <w:numPr>
          <w:ilvl w:val="0"/>
          <w:numId w:val="1"/>
        </w:numPr>
      </w:pPr>
      <w:r>
        <w:t xml:space="preserve">[Terms of Service](./TERMS_OF_SERVICE.md)</w:t>
      </w:r>
    </w:p>
    <w:p>
      <w:pPr>
        <w:pStyle w:val="ListParagraph"/>
        <w:numPr>
          <w:ilvl w:val="0"/>
          <w:numId w:val="1"/>
        </w:numPr>
      </w:pPr>
      <w:r>
        <w:t xml:space="preserve">[Security Policy](./SECURITY.md)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**Aviso:** Este aviso de privacidad fue generado automáticamente por Codepliant a partir del análisis del código fuente. Debe ser revisado por un asesor legal cualificado.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